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321</w:t>
      </w:r>
    </w:p>
    <w:p>
      <w:r>
        <w:t>Bundesgericht (BGE), 2021-06-07, DE</w:t>
      </w:r>
    </w:p>
    <w:p>
      <w:r>
        <w:rPr>
          <w:b/>
        </w:rPr>
        <w:t xml:space="preserve">Quelle: </w:t>
      </w:r>
      <w:r>
        <w:t>https://mcp.opencaselaw.ch/entscheid/bge_149 IV 321</w:t>
      </w:r>
    </w:p>
    <w:p>
      <w:r>
        <w:t>FR: ATF 149 IV 321</w:t>
      </w:r>
    </w:p>
    <w:p>
      <w:r>
        <w:t>IT: DTF 149 IV 321</w:t>
      </w:r>
    </w:p>
    <w:p>
      <w:pPr>
        <w:pStyle w:val="Heading2"/>
      </w:pPr>
      <w:r>
        <w:t>Regeste</w:t>
      </w:r>
    </w:p>
    <w:p>
      <w:r>
        <w:t>Regeste Art. 42 Abs. 4 StGB; Höhe der Verbindungsbusse. Die Verbindungsbusse i.S.v. Art. 42 Abs. 4 StGB darf höchstens 20 % der in der Summe schuldangemessenen Sanktion - bestehend aus einer bedingt ausgesprochenen Hauptstrafe kombiniert mit einer Verbindungsbusse - betragen (Präzisierung der Rechtsprechung; E. 1, insb. E. 1.3.2).</w:t>
      </w:r>
    </w:p>
    <w:p>
      <w:pPr>
        <w:pStyle w:val="Heading2"/>
      </w:pPr>
      <w:r>
        <w:t>Erwägungen</w:t>
      </w:r>
    </w:p>
    <w:p>
      <w:r>
        <w:rPr>
          <w:b/>
        </w:rPr>
        <w:t>E. 1.1.1</w:t>
      </w:r>
    </w:p>
    <w:p>
      <w:r>
        <w:t>Die Beschwerdeführerin rügt eine Verletzung von Art. 42 Abs. 4 StGB . Zusammengefasst macht sie geltend, die Vorinstanz habe die bedingte Geldstrafe von 25 Tagessätzen zu Fr. 30.- zu Unrecht um den umgerechneten Wert der Verbindungsbusse von Fr. 180.- auf 19 Tagessätze zu Fr. 30.- gekürzt. Dieses Vorgehen der Vorinstanz sei zudem willkürlich, da einer Verbindungsbusse lediglich akzessorischer Charakter zukomme und daher entgegen der Auffassung der Vorinstanz gerade keine Doppelbestrafung vorliege.</w:t>
      </w:r>
    </w:p>
    <w:p>
      <w:r>
        <w:rPr>
          <w:b/>
        </w:rPr>
        <w:t>E. 1.1.2</w:t>
      </w:r>
    </w:p>
    <w:p>
      <w:r>
        <w:t>Die Beschwerdeführerin beantragt vor Bundesgericht, der Beschwerdegegner sei mit einer Verbindungsbusse von Fr. 280.- zu bestrafen. Damit geht ihr Antrag mit Blick auf die Verbindungsbusse BGE 149 IV 321 S. 323 i.S.v. Art. 42 Abs. 4 StGB nicht über das hinaus, was die Vorinstanz ausspricht. Da die Beschwerdeführerin jedoch mittelbar auch die Strafzumessung in Bezug auf die Hauptstrafe sowie die Methodik zur Bildung einer Verbindungsbusse i.S.v. Art. 42 Abs. 4 StGB anficht und beantragt, der Beschwerdegegner sei mit einer bedingten Geldstrafe von 25 statt 19 Tagessätzen zu Fr. 30.- zu bestrafen, kann offengelassen werden, ob die Beschwerdeführerin überhaupt über ein Rechtsschutzinteresse verfügt.</w:t>
      </w:r>
    </w:p>
    <w:p>
      <w:r>
        <w:rPr>
          <w:b/>
        </w:rPr>
        <w:t>E. 1.2</w:t>
      </w:r>
    </w:p>
    <w:p>
      <w:r>
        <w:t>Die Vorinstanz führt aus, unter Würdigung der gesamten Umstände erweise sich die erstinstanzlich ausgesprochene Geldstrafe von 25 Tagessätzen zu Fr. 30.- bedingt vollziehbar bei einer Probezeit von zwei Jahren, als verschuldensangemessen. Mit der ersten Instanz sei eine Verbindungsbusse nach Art. 42 Abs. 4 StGB auszusprechen, um dem Beschwerdeführer den Ernst der Lage vor Augen zu führen. Die Obergrenze für die Verbindungsbusse betrage grundsätzlich einen Fünftel. Die Vorinstanz spricht eine Verbindungsbusse von insgesamt Fr. 180.- aus und reduziert die Geldstrafe um sechs Tagessätze auf 19 Tagessätze zu Fr. 30.- mit der Begründung, ansonsten würde eine Doppelbestrafung vorliegen. Zudem spricht die Vorinstanz für die Übertretung des Betäubungsmittelgesetzes eine Busse in der Höhe von Fr. 100.- aus, welche nicht angefochten wird.</w:t>
      </w:r>
    </w:p>
    <w:p>
      <w:r>
        <w:rPr>
          <w:b/>
        </w:rPr>
        <w:t>E. 1.3.1</w:t>
      </w:r>
    </w:p>
    <w:p>
      <w:r>
        <w:t>Eine bedingte Strafe kann mit einer Busse ( Art. 106 StGB ) verbunden werden ( Art. 42 Abs. 4 StGB ). Die Verbindungsbusse soll gemäss bundesgerichtlicher Rechtsprechung in Betracht kommen,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Freiheits- oder Geldstrafe, während der unbedingten Verbindungsbusse nur untergeordnete Bedeutung zukommt. Die Verbindungsbusse soll nicht etwa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 BGE 146 IV 145 E. 2.2; BGE 135 IV 188 E. 3.3; BGE 134 IV 53 E. 4.5.2). Um dem akzessorischen Charakter der Verbindungsbusse gerecht zu werden, hat das Bundesgericht die Obergrenze grundsätzlich auf BGE 149 IV 321 S. 324 einen Fünftel bzw. 20 % festgelegt ( BGE 146 IV 145 E. 2.2; BGE 135 IV 188 E. 3.4.4). Abweichungen von dieser Regel sind im Bereich tiefer Strafen denkbar, um sicherzustellen, dass der Verbindungsstrafe nicht eine lediglich symbolische Bedeutung zukommt ( BGE 135 IV 188 E. 3.4.4).</w:t>
      </w:r>
    </w:p>
    <w:p>
      <w:r>
        <w:rPr>
          <w:b/>
        </w:rPr>
        <w:t>E. 1.3.2</w:t>
      </w:r>
    </w:p>
    <w:p>
      <w:r>
        <w:t>In Präzisierung dieser Rechtsprechung ist festzuhalten, dass die Verbindungsbusse i.S.v. Art. 42 Abs. 4 StGB höchstens einen Fünftel bzw. 20 % der in der Summe schuldangemessenen Sanktion - bestehend aus einer bedingt ausgesprochenen Hauptstrafe kombiniert mit einer Verbindungsbusse - betragen darf ( BGE 135 IV 188 E. 3.4.4; vgl. Urteile 6B_1232/2013 vom 31. Januar 2014 E. 5; 6B_83/2010 vom 8. Juli 2010 E. 6.1; 6B_1019/2009 vom 11. März 2010 E. 3.4; je mit Hinweisen; abweichend davon Urteile 6B_773/ 2022 vom 26. Oktober 2022 E. 5.1; 6B_784/2022 vom 5. Oktober 2022 E. 1.2.4; 6B_498/2021 vom 30. Mai 2022 E. 2.2, wo von 20 % der Hauptsanktion bzw. der bedingten Geldstrafe gesprochen wird).</w:t>
      </w:r>
    </w:p>
    <w:p>
      <w:r>
        <w:rPr>
          <w:b/>
        </w:rPr>
        <w:t>E. 1.4.1</w:t>
      </w:r>
    </w:p>
    <w:p>
      <w:r>
        <w:t>In casu erachtet die Vorinstanz eine (bedingte) Geldstrafe von 25 Tagessätzen zu Fr. 30.- unter Würdigung der gesamten Umstände als verschuldensangemessen. Um dem Beschwerdegegner den Ernst der Lage vor Augen zu führen, sei eine Verbindungsbusse auszusprechen. Die Vorinstanz spricht eine bedingte Geldstrafe von 19 Tagessätzen zu Fr. 30.- sowie eine Verbindungsbusse in der Höhe von Fr. 180.- aus. Aus den vorinstanzlichen Erwägungen wird daher ersichtlich, dass die Vorinstanz eine Sanktion von 25 Tagessätzen zu Fr. 30.- als in der Summe schuldangemessen erachtet und diese in der Folge in eine bedingt auszusprechende Hauptsanktion und eine Verbindungsbusse aufteilt. Letztere darf maximal 20 % ausmachen (vgl. soeben E. 1.3). Die maximale Verbindungsbusse liegt im vorliegenden Anwendungsfall demnach bei Fr. 150.- (25 x 30 = 750 / 100 x 20 = 150). Die von der Vorinstanz ausgesprochene Verbindungsbusse in der Höhe von Fr. 180.- befindet sich nicht mehr im Rahmen der zulässigen 20 % und wäre grundsätzlich nicht zulässig. Es läge eine Verletzung von Art. 42 Abs. 4 StGB vor.</w:t>
      </w:r>
    </w:p>
    <w:p>
      <w:r>
        <w:rPr>
          <w:b/>
        </w:rPr>
        <w:t>E. 1.4.2</w:t>
      </w:r>
    </w:p>
    <w:p>
      <w:r>
        <w:t>Die Beschwerdeführerin strebt vorliegend nicht eine Reduktion der Verbindungsbusse auf Fr. 150.- und damit auf das zulässige Mass i.S.v. Art. 42 Abs. 4 StGB an. Sie stellt die von der Vorinstanz ausgesprochene Verbindungsbusse vielmehr gar nicht in Frage, beantragt sie in ihrer Beschwerde doch ebenfalls eine Verbindungsbusse in der Höhe von Fr. 280.-. Die Beschwerdeführerin zielt indes BGE 149 IV 321 S. 325 darauf ab, die der Verbindungsbusse zugrunde liegende (bedingte) Geldstrafe von 19 Tagessätzen Geldstrafe zu Fr. 30.- auf 25 Tagessätze zu Fr. 30.- zu erhöhen. Art. 42 Abs. 4 StGB regelt die Möglichkeit der Festlegung einer akzessorischen Verbindungsbusse. Die Disposition dient jedoch nicht dazu, die Höhe der in Anwendung der allgemeinen Strafzumessungsregeln im Sinne von Art. 47 ff. StGB zustandegekommenen Hauptstrafe anzufechten. Inwieweit die vorinstanzlich ausgesprochene Hauptstrafe nicht rechtskonform sein soll, begründet die Beschwerdeführerin nicht ( Art. 42 Abs. 2 BGG ).</w:t>
      </w:r>
    </w:p>
    <w:p>
      <w:r>
        <w:rPr>
          <w:b/>
        </w:rPr>
        <w:t>E. 1.4.3</w:t>
      </w:r>
    </w:p>
    <w:p>
      <w:r>
        <w:t>Die Beschwerdeführerin wendet sich nicht gegen die übrigen Ausführungen der Vorinstanz zur Strafzumessung, insbesondere nicht zur ausgesprochenen Busse von Fr. 100.- für die Übertretung des Betäubungsmittelgesetzes. Darauf braucht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